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4" w:rsidRPr="0008635A" w:rsidRDefault="00B619D4" w:rsidP="006472B5">
      <w:pPr>
        <w:jc w:val="center"/>
        <w:rPr>
          <w:rFonts w:ascii="Arial" w:hAnsi="Arial" w:cs="Arial"/>
          <w:b/>
          <w:caps/>
        </w:rPr>
      </w:pPr>
      <w:r w:rsidRPr="0008635A">
        <w:rPr>
          <w:rFonts w:ascii="Arial" w:hAnsi="Arial" w:cs="Arial"/>
          <w:b/>
          <w:caps/>
        </w:rPr>
        <w:t>- PROJEKT -</w:t>
      </w:r>
    </w:p>
    <w:p w:rsidR="00B619D4" w:rsidRPr="0008635A" w:rsidRDefault="00B619D4" w:rsidP="006472B5">
      <w:pPr>
        <w:jc w:val="center"/>
        <w:rPr>
          <w:rFonts w:ascii="Arial" w:hAnsi="Arial" w:cs="Arial"/>
          <w:b/>
          <w:caps/>
        </w:rPr>
      </w:pPr>
    </w:p>
    <w:p w:rsidR="00B619D4" w:rsidRPr="0008635A" w:rsidRDefault="00B619D4" w:rsidP="006472B5">
      <w:pPr>
        <w:jc w:val="center"/>
        <w:rPr>
          <w:rFonts w:ascii="Arial" w:hAnsi="Arial" w:cs="Arial"/>
          <w:b/>
          <w:caps/>
        </w:rPr>
      </w:pPr>
      <w:r w:rsidRPr="0008635A">
        <w:rPr>
          <w:rFonts w:ascii="Arial" w:hAnsi="Arial" w:cs="Arial"/>
          <w:b/>
          <w:caps/>
        </w:rPr>
        <w:t>Uchwała Nr ....................</w:t>
      </w:r>
      <w:r w:rsidRPr="0008635A">
        <w:rPr>
          <w:rFonts w:ascii="Arial" w:hAnsi="Arial" w:cs="Arial"/>
          <w:b/>
          <w:caps/>
        </w:rPr>
        <w:br/>
        <w:t>Rady Gminy GOSTYCYN</w:t>
      </w:r>
    </w:p>
    <w:p w:rsidR="00B619D4" w:rsidRPr="0008635A" w:rsidRDefault="00B619D4" w:rsidP="006472B5">
      <w:pPr>
        <w:jc w:val="center"/>
        <w:rPr>
          <w:rFonts w:ascii="Arial" w:hAnsi="Arial" w:cs="Arial"/>
        </w:rPr>
      </w:pPr>
      <w:r w:rsidRPr="0008635A">
        <w:rPr>
          <w:rFonts w:ascii="Arial" w:hAnsi="Arial" w:cs="Arial"/>
        </w:rPr>
        <w:t>z dnia ..................</w:t>
      </w:r>
    </w:p>
    <w:p w:rsidR="00B619D4" w:rsidRPr="0008635A" w:rsidRDefault="00B619D4" w:rsidP="006472B5">
      <w:pPr>
        <w:jc w:val="center"/>
        <w:rPr>
          <w:rFonts w:ascii="Arial" w:hAnsi="Arial" w:cs="Arial"/>
          <w:b/>
          <w:caps/>
        </w:rPr>
      </w:pPr>
    </w:p>
    <w:p w:rsidR="00B619D4" w:rsidRPr="0008635A" w:rsidRDefault="00B619D4" w:rsidP="006472B5">
      <w:pPr>
        <w:jc w:val="center"/>
        <w:rPr>
          <w:rFonts w:ascii="Arial" w:hAnsi="Arial" w:cs="Arial"/>
          <w:b/>
          <w:caps/>
        </w:rPr>
      </w:pPr>
    </w:p>
    <w:p w:rsidR="00B619D4" w:rsidRPr="0008635A" w:rsidRDefault="00B619D4" w:rsidP="00167763">
      <w:pPr>
        <w:keepNext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uzgodnienia</w:t>
      </w:r>
      <w:r w:rsidRPr="0008635A">
        <w:rPr>
          <w:rFonts w:ascii="Arial" w:hAnsi="Arial" w:cs="Arial"/>
          <w:b/>
        </w:rPr>
        <w:t xml:space="preserve"> projektu uchwały Sejmiku Województwa Kujawsko - Pomorskiego </w:t>
      </w:r>
      <w:r>
        <w:rPr>
          <w:rFonts w:ascii="Arial" w:hAnsi="Arial" w:cs="Arial"/>
          <w:b/>
        </w:rPr>
        <w:t>zmieniającej uchwałę w sprawie</w:t>
      </w:r>
      <w:r w:rsidRPr="0008635A">
        <w:rPr>
          <w:rFonts w:ascii="Arial" w:hAnsi="Arial" w:cs="Arial"/>
          <w:b/>
        </w:rPr>
        <w:t xml:space="preserve"> Obszaru Chronionego Krajobrazu </w:t>
      </w:r>
      <w:r>
        <w:rPr>
          <w:rFonts w:ascii="Arial" w:hAnsi="Arial" w:cs="Arial"/>
          <w:b/>
        </w:rPr>
        <w:t>Doliny rzeki Sępolenki</w:t>
      </w:r>
    </w:p>
    <w:p w:rsidR="00B619D4" w:rsidRPr="0008635A" w:rsidRDefault="00B619D4" w:rsidP="006472B5">
      <w:pPr>
        <w:keepNext/>
        <w:jc w:val="center"/>
        <w:rPr>
          <w:rFonts w:ascii="Arial" w:hAnsi="Arial" w:cs="Arial"/>
          <w:b/>
        </w:rPr>
      </w:pPr>
    </w:p>
    <w:p w:rsidR="00B619D4" w:rsidRPr="0008635A" w:rsidRDefault="00B619D4" w:rsidP="006472B5">
      <w:pPr>
        <w:keepLines/>
        <w:ind w:firstLine="227"/>
        <w:rPr>
          <w:rFonts w:ascii="Arial" w:hAnsi="Arial" w:cs="Arial"/>
        </w:rPr>
      </w:pPr>
    </w:p>
    <w:p w:rsidR="00B619D4" w:rsidRDefault="00B619D4" w:rsidP="006472B5">
      <w:pPr>
        <w:keepLines/>
        <w:ind w:firstLine="227"/>
        <w:rPr>
          <w:rFonts w:ascii="Arial" w:hAnsi="Arial" w:cs="Arial"/>
        </w:rPr>
      </w:pPr>
      <w:r w:rsidRPr="0008635A">
        <w:rPr>
          <w:rFonts w:ascii="Arial" w:hAnsi="Arial" w:cs="Arial"/>
        </w:rPr>
        <w:tab/>
        <w:t>Na podstawie art. 6 ust. 1, art. 7 ust. 1 pkt. 1, art. 18 ust. 2 pkt 15 ustawy z dnia 8 marca 1990 r. o samorządzie gminnym (Dz. U. z 201</w:t>
      </w:r>
      <w:r>
        <w:rPr>
          <w:rFonts w:ascii="Arial" w:hAnsi="Arial" w:cs="Arial"/>
        </w:rPr>
        <w:t>7</w:t>
      </w:r>
      <w:r w:rsidRPr="0008635A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1875</w:t>
      </w:r>
      <w:r w:rsidR="006F7CAB">
        <w:rPr>
          <w:rFonts w:ascii="Arial" w:hAnsi="Arial" w:cs="Arial"/>
        </w:rPr>
        <w:t xml:space="preserve"> z późn. z</w:t>
      </w:r>
      <w:bookmarkStart w:id="0" w:name="_GoBack"/>
      <w:bookmarkEnd w:id="0"/>
      <w:r w:rsidR="006F7CAB">
        <w:rPr>
          <w:rFonts w:ascii="Arial" w:hAnsi="Arial" w:cs="Arial"/>
        </w:rPr>
        <w:t>m.</w:t>
      </w:r>
      <w:r w:rsidRPr="0008635A">
        <w:rPr>
          <w:rFonts w:ascii="Arial" w:hAnsi="Arial" w:cs="Arial"/>
        </w:rPr>
        <w:t>) w związku z art. 23 ust. </w:t>
      </w:r>
      <w:r>
        <w:rPr>
          <w:rFonts w:ascii="Arial" w:hAnsi="Arial" w:cs="Arial"/>
        </w:rPr>
        <w:t xml:space="preserve">3 ustawy z dnia </w:t>
      </w:r>
      <w:r w:rsidRPr="0008635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08635A">
        <w:rPr>
          <w:rFonts w:ascii="Arial" w:hAnsi="Arial" w:cs="Arial"/>
        </w:rPr>
        <w:t>kwietnia 2004 r. o</w:t>
      </w:r>
      <w:r>
        <w:rPr>
          <w:rFonts w:ascii="Arial" w:hAnsi="Arial" w:cs="Arial"/>
        </w:rPr>
        <w:t xml:space="preserve"> </w:t>
      </w:r>
      <w:r w:rsidRPr="0008635A">
        <w:rPr>
          <w:rFonts w:ascii="Arial" w:hAnsi="Arial" w:cs="Arial"/>
        </w:rPr>
        <w:t>ochronie przyrody (Dz. U. z 201</w:t>
      </w:r>
      <w:r>
        <w:rPr>
          <w:rFonts w:ascii="Arial" w:hAnsi="Arial" w:cs="Arial"/>
        </w:rPr>
        <w:t>8</w:t>
      </w:r>
      <w:r w:rsidRPr="0008635A">
        <w:rPr>
          <w:rFonts w:ascii="Arial" w:hAnsi="Arial" w:cs="Arial"/>
        </w:rPr>
        <w:t xml:space="preserve"> r. </w:t>
      </w:r>
      <w:r>
        <w:rPr>
          <w:rFonts w:ascii="Arial" w:hAnsi="Arial" w:cs="Arial"/>
        </w:rPr>
        <w:br/>
      </w:r>
      <w:r w:rsidRPr="000863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142</w:t>
      </w:r>
      <w:r w:rsidRPr="0008635A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10</w:t>
      </w:r>
      <w:r w:rsidRPr="0008635A">
        <w:rPr>
          <w:rFonts w:ascii="Arial" w:hAnsi="Arial" w:cs="Arial"/>
        </w:rPr>
        <w:t>)</w:t>
      </w:r>
    </w:p>
    <w:p w:rsidR="00B619D4" w:rsidRPr="0008635A" w:rsidRDefault="00B619D4" w:rsidP="006472B5">
      <w:pPr>
        <w:keepLines/>
        <w:ind w:firstLine="227"/>
        <w:rPr>
          <w:rFonts w:ascii="Arial" w:hAnsi="Arial" w:cs="Arial"/>
        </w:rPr>
      </w:pPr>
    </w:p>
    <w:p w:rsidR="00B619D4" w:rsidRDefault="00B619D4" w:rsidP="006472B5">
      <w:pPr>
        <w:jc w:val="center"/>
        <w:rPr>
          <w:rFonts w:ascii="Arial" w:hAnsi="Arial" w:cs="Arial"/>
          <w:b/>
        </w:rPr>
      </w:pPr>
      <w:r w:rsidRPr="0008635A">
        <w:rPr>
          <w:rFonts w:ascii="Arial" w:hAnsi="Arial" w:cs="Arial"/>
          <w:b/>
        </w:rPr>
        <w:t>uchwala, co następuje:</w:t>
      </w:r>
    </w:p>
    <w:p w:rsidR="00B619D4" w:rsidRPr="0008635A" w:rsidRDefault="00B619D4" w:rsidP="006472B5">
      <w:pPr>
        <w:jc w:val="center"/>
        <w:rPr>
          <w:rFonts w:ascii="Arial" w:hAnsi="Arial" w:cs="Arial"/>
          <w:b/>
        </w:rPr>
      </w:pPr>
    </w:p>
    <w:p w:rsidR="00B619D4" w:rsidRDefault="00B619D4" w:rsidP="00AB07BF">
      <w:pPr>
        <w:keepLines/>
        <w:ind w:firstLine="340"/>
        <w:rPr>
          <w:rFonts w:ascii="Arial" w:hAnsi="Arial" w:cs="Arial"/>
        </w:rPr>
      </w:pPr>
      <w:r w:rsidRPr="0008635A">
        <w:rPr>
          <w:rFonts w:ascii="Arial" w:hAnsi="Arial" w:cs="Arial"/>
          <w:b/>
        </w:rPr>
        <w:t>§ 1. </w:t>
      </w:r>
      <w:r>
        <w:rPr>
          <w:rFonts w:ascii="Arial" w:hAnsi="Arial" w:cs="Arial"/>
        </w:rPr>
        <w:t>Uzgodnić</w:t>
      </w:r>
      <w:r w:rsidRPr="0008635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pozytywnie</w:t>
      </w:r>
      <w:r w:rsidRPr="0008635A">
        <w:rPr>
          <w:rFonts w:ascii="Arial" w:hAnsi="Arial" w:cs="Arial"/>
          <w:b/>
        </w:rPr>
        <w:t xml:space="preserve"> </w:t>
      </w:r>
      <w:r w:rsidRPr="0008635A">
        <w:rPr>
          <w:rFonts w:ascii="Arial" w:hAnsi="Arial" w:cs="Arial"/>
        </w:rPr>
        <w:t xml:space="preserve">projekt uchwały Sejmiku Województwa Kujawsko - Pomorskiego </w:t>
      </w:r>
      <w:r>
        <w:rPr>
          <w:rFonts w:ascii="Arial" w:hAnsi="Arial" w:cs="Arial"/>
        </w:rPr>
        <w:t xml:space="preserve">zmieniającej uchwałę </w:t>
      </w:r>
      <w:r w:rsidRPr="0008635A">
        <w:rPr>
          <w:rFonts w:ascii="Arial" w:hAnsi="Arial" w:cs="Arial"/>
        </w:rPr>
        <w:t>w sprawie Obszaru Chronionego Krajobrazu</w:t>
      </w:r>
      <w:r>
        <w:rPr>
          <w:rFonts w:ascii="Arial" w:hAnsi="Arial" w:cs="Arial"/>
        </w:rPr>
        <w:t xml:space="preserve"> Doliny rzeki Sępolenki.</w:t>
      </w:r>
    </w:p>
    <w:p w:rsidR="00B619D4" w:rsidRPr="0008635A" w:rsidRDefault="00B619D4" w:rsidP="006472B5">
      <w:pPr>
        <w:keepLines/>
        <w:ind w:firstLine="340"/>
        <w:rPr>
          <w:rFonts w:ascii="Arial" w:hAnsi="Arial" w:cs="Arial"/>
        </w:rPr>
      </w:pPr>
    </w:p>
    <w:p w:rsidR="00B619D4" w:rsidRDefault="00B619D4" w:rsidP="006472B5">
      <w:pPr>
        <w:keepLines/>
        <w:ind w:firstLine="340"/>
        <w:rPr>
          <w:rFonts w:ascii="Arial" w:hAnsi="Arial" w:cs="Arial"/>
        </w:rPr>
      </w:pPr>
      <w:r w:rsidRPr="0008635A">
        <w:rPr>
          <w:rFonts w:ascii="Arial" w:hAnsi="Arial" w:cs="Arial"/>
          <w:b/>
        </w:rPr>
        <w:t>§ </w:t>
      </w:r>
      <w:r>
        <w:rPr>
          <w:rFonts w:ascii="Arial" w:hAnsi="Arial" w:cs="Arial"/>
          <w:b/>
        </w:rPr>
        <w:t>2</w:t>
      </w:r>
      <w:r w:rsidRPr="0008635A">
        <w:rPr>
          <w:rFonts w:ascii="Arial" w:hAnsi="Arial" w:cs="Arial"/>
          <w:b/>
        </w:rPr>
        <w:t>. </w:t>
      </w:r>
      <w:r>
        <w:rPr>
          <w:rFonts w:ascii="Arial" w:hAnsi="Arial" w:cs="Arial"/>
        </w:rPr>
        <w:t> </w:t>
      </w:r>
      <w:r w:rsidRPr="0008635A">
        <w:rPr>
          <w:rFonts w:ascii="Arial" w:hAnsi="Arial" w:cs="Arial"/>
        </w:rPr>
        <w:t>Wykonanie uchwał</w:t>
      </w:r>
      <w:r>
        <w:rPr>
          <w:rFonts w:ascii="Arial" w:hAnsi="Arial" w:cs="Arial"/>
        </w:rPr>
        <w:t>y powierza się Wójtowi Gminy Gosty</w:t>
      </w:r>
      <w:r w:rsidRPr="0008635A">
        <w:rPr>
          <w:rFonts w:ascii="Arial" w:hAnsi="Arial" w:cs="Arial"/>
        </w:rPr>
        <w:t>cyn.</w:t>
      </w:r>
    </w:p>
    <w:p w:rsidR="00B619D4" w:rsidRPr="0008635A" w:rsidRDefault="00B619D4" w:rsidP="006472B5">
      <w:pPr>
        <w:keepLines/>
        <w:ind w:firstLine="340"/>
        <w:rPr>
          <w:rFonts w:ascii="Arial" w:hAnsi="Arial" w:cs="Arial"/>
        </w:rPr>
      </w:pPr>
    </w:p>
    <w:p w:rsidR="00B619D4" w:rsidRDefault="00B619D4" w:rsidP="006472B5">
      <w:pPr>
        <w:keepLines/>
        <w:ind w:firstLine="340"/>
        <w:rPr>
          <w:rFonts w:ascii="Arial" w:hAnsi="Arial" w:cs="Arial"/>
        </w:rPr>
      </w:pPr>
      <w:r w:rsidRPr="0008635A">
        <w:rPr>
          <w:rFonts w:ascii="Arial" w:hAnsi="Arial" w:cs="Arial"/>
          <w:b/>
        </w:rPr>
        <w:t>§ </w:t>
      </w:r>
      <w:r>
        <w:rPr>
          <w:rFonts w:ascii="Arial" w:hAnsi="Arial" w:cs="Arial"/>
          <w:b/>
        </w:rPr>
        <w:t>3</w:t>
      </w:r>
      <w:r w:rsidRPr="0008635A">
        <w:rPr>
          <w:rFonts w:ascii="Arial" w:hAnsi="Arial" w:cs="Arial"/>
          <w:b/>
        </w:rPr>
        <w:t>. </w:t>
      </w:r>
      <w:r w:rsidRPr="0008635A">
        <w:rPr>
          <w:rFonts w:ascii="Arial" w:hAnsi="Arial" w:cs="Arial"/>
        </w:rPr>
        <w:t> Uchwała wchodzi w życie z dniem podjęcia.</w:t>
      </w:r>
    </w:p>
    <w:p w:rsidR="00B619D4" w:rsidRPr="0008635A" w:rsidRDefault="00B619D4" w:rsidP="006472B5">
      <w:pPr>
        <w:keepLines/>
        <w:ind w:firstLine="340"/>
        <w:rPr>
          <w:rFonts w:ascii="Arial" w:hAnsi="Arial" w:cs="Arial"/>
        </w:rPr>
        <w:sectPr w:rsidR="00B619D4" w:rsidRPr="0008635A" w:rsidSect="00227BB1">
          <w:foot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B619D4" w:rsidRDefault="00B619D4" w:rsidP="006472B5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Uzasadnienie</w:t>
      </w:r>
    </w:p>
    <w:p w:rsidR="00B619D4" w:rsidRDefault="00B619D4" w:rsidP="006472B5">
      <w:pPr>
        <w:ind w:left="283" w:firstLine="227"/>
        <w:rPr>
          <w:rFonts w:ascii="Arial" w:hAnsi="Arial" w:cs="Arial"/>
        </w:rPr>
      </w:pPr>
    </w:p>
    <w:p w:rsidR="00B619D4" w:rsidRDefault="00B619D4" w:rsidP="0060390A">
      <w:pPr>
        <w:keepLine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635A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26</w:t>
      </w:r>
      <w:r w:rsidRPr="0008635A">
        <w:rPr>
          <w:rFonts w:ascii="Arial" w:hAnsi="Arial" w:cs="Arial"/>
        </w:rPr>
        <w:t> </w:t>
      </w:r>
      <w:r>
        <w:rPr>
          <w:rFonts w:ascii="Arial" w:hAnsi="Arial" w:cs="Arial"/>
        </w:rPr>
        <w:t>stycznia</w:t>
      </w:r>
      <w:r w:rsidRPr="0008635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8635A">
        <w:rPr>
          <w:rFonts w:ascii="Arial" w:hAnsi="Arial" w:cs="Arial"/>
        </w:rPr>
        <w:t> r. do Urzędu Gminy w</w:t>
      </w:r>
      <w:r>
        <w:rPr>
          <w:rFonts w:ascii="Arial" w:hAnsi="Arial" w:cs="Arial"/>
        </w:rPr>
        <w:t xml:space="preserve"> Gostycynie </w:t>
      </w:r>
      <w:r w:rsidRPr="0008635A">
        <w:rPr>
          <w:rFonts w:ascii="Arial" w:hAnsi="Arial" w:cs="Arial"/>
        </w:rPr>
        <w:t>wpłyn</w:t>
      </w:r>
      <w:r>
        <w:rPr>
          <w:rFonts w:ascii="Arial" w:hAnsi="Arial" w:cs="Arial"/>
        </w:rPr>
        <w:t xml:space="preserve">ęło pismo znak: </w:t>
      </w:r>
      <w:r>
        <w:rPr>
          <w:rFonts w:ascii="Arial" w:hAnsi="Arial" w:cs="Arial"/>
        </w:rPr>
        <w:br/>
        <w:t xml:space="preserve">ŚG-VII.7122.2.2018 z dnia 17 styczna 2018 r. z Urzędu Marszałkowskiego Województwa Kujawsko – Pomorskiego w Toruniu w sprawie uzgodnienia </w:t>
      </w:r>
      <w:r w:rsidRPr="0008635A">
        <w:rPr>
          <w:rFonts w:ascii="Arial" w:hAnsi="Arial" w:cs="Arial"/>
        </w:rPr>
        <w:t>projekt</w:t>
      </w:r>
      <w:r>
        <w:rPr>
          <w:rFonts w:ascii="Arial" w:hAnsi="Arial" w:cs="Arial"/>
        </w:rPr>
        <w:t>u</w:t>
      </w:r>
      <w:r w:rsidRPr="0008635A">
        <w:rPr>
          <w:rFonts w:ascii="Arial" w:hAnsi="Arial" w:cs="Arial"/>
        </w:rPr>
        <w:t xml:space="preserve"> uchwały Sejmiku Województwa Kujawsko - Pomorskiego </w:t>
      </w:r>
      <w:r>
        <w:rPr>
          <w:rFonts w:ascii="Arial" w:hAnsi="Arial" w:cs="Arial"/>
        </w:rPr>
        <w:t xml:space="preserve">zmieniającej uchwałę </w:t>
      </w:r>
      <w:r w:rsidRPr="0008635A">
        <w:rPr>
          <w:rFonts w:ascii="Arial" w:hAnsi="Arial" w:cs="Arial"/>
        </w:rPr>
        <w:t>w sprawie Obszaru Chronionego Krajobrazu</w:t>
      </w:r>
      <w:r>
        <w:rPr>
          <w:rFonts w:ascii="Arial" w:hAnsi="Arial" w:cs="Arial"/>
        </w:rPr>
        <w:t xml:space="preserve"> Doliny rzeki Sępolenki. </w:t>
      </w:r>
    </w:p>
    <w:p w:rsidR="00B619D4" w:rsidRDefault="00B619D4" w:rsidP="0060390A">
      <w:pPr>
        <w:ind w:firstLine="22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19D4" w:rsidRPr="009F2223" w:rsidRDefault="00B619D4" w:rsidP="0060390A">
      <w:pPr>
        <w:ind w:firstLine="540"/>
        <w:rPr>
          <w:rFonts w:ascii="Arial" w:hAnsi="Arial" w:cs="Arial"/>
          <w:b/>
          <w:i/>
        </w:rPr>
      </w:pPr>
      <w:r w:rsidRPr="009F2223">
        <w:rPr>
          <w:rFonts w:ascii="Arial" w:hAnsi="Arial" w:cs="Arial"/>
          <w:b/>
          <w:i/>
        </w:rPr>
        <w:t xml:space="preserve">Przedmiotowy projekt uchwały zakłada dostosowanie katalogu zakazów obowiązujących na tym obszarze do aktualnego ich brzmienia w ustawie o ochronie przyrody. </w:t>
      </w:r>
    </w:p>
    <w:p w:rsidR="00B619D4" w:rsidRDefault="00B619D4" w:rsidP="0060390A">
      <w:pPr>
        <w:ind w:firstLine="540"/>
        <w:rPr>
          <w:rFonts w:ascii="Arial" w:hAnsi="Arial" w:cs="Arial"/>
        </w:rPr>
      </w:pPr>
    </w:p>
    <w:p w:rsidR="00B619D4" w:rsidRDefault="00B619D4" w:rsidP="0060390A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W Uchwale Nr X/234/15 Sejmiku Województwa Kujawsko – Pomorskiego z dnia </w:t>
      </w:r>
      <w:r>
        <w:rPr>
          <w:rFonts w:ascii="Arial" w:hAnsi="Arial" w:cs="Arial"/>
        </w:rPr>
        <w:br/>
        <w:t xml:space="preserve">24 sierpnia 2015 r. w sprawie Obszaru Chronionego Krajobrazu Doliny rzeki Sępolenki, </w:t>
      </w:r>
      <w:r>
        <w:rPr>
          <w:rFonts w:ascii="Arial" w:hAnsi="Arial" w:cs="Arial"/>
        </w:rPr>
        <w:br/>
        <w:t xml:space="preserve">w wyniku niezamierzonej omyłki pisarskiej błędnie przepisano treść dwóch zakazów z art. </w:t>
      </w:r>
      <w:r>
        <w:rPr>
          <w:rFonts w:ascii="Arial" w:hAnsi="Arial" w:cs="Arial"/>
        </w:rPr>
        <w:br/>
        <w:t>24 ust. 1 pkt 5, 6 ustawy z dnia 16 kwietnia 2004 r. o ochronie przyrody. W §5 pkt 4 uchwały pominięto słowo „przeciwsztormowym”, natomiast w §5 pkt 5 uchwały zastosowano niewłaściwą odmianę słów „wodna lub rybacka”. Powyższa nieścisłość nie miała negatywnego wpływu na czynną ochronę ekosystemów, a także nie ograniczała rozwoju wspólnot lokalnych i podmiotów gospodarczych na Obszarze Chronionego Krajobrazu Doliny rzeki Sępolenki.</w:t>
      </w:r>
    </w:p>
    <w:p w:rsidR="00B619D4" w:rsidRDefault="00B619D4" w:rsidP="004F5F4B">
      <w:pPr>
        <w:rPr>
          <w:rFonts w:ascii="Arial" w:hAnsi="Arial" w:cs="Arial"/>
        </w:rPr>
      </w:pPr>
    </w:p>
    <w:p w:rsidR="00B619D4" w:rsidRDefault="00B619D4" w:rsidP="004F5F4B">
      <w:pPr>
        <w:rPr>
          <w:rFonts w:ascii="Arial" w:hAnsi="Arial" w:cs="Arial"/>
        </w:rPr>
      </w:pPr>
      <w:r>
        <w:rPr>
          <w:rFonts w:ascii="Arial" w:hAnsi="Arial" w:cs="Arial"/>
        </w:rPr>
        <w:t>W związku z powyższym zaistniała konieczność dokonania korekty treści wskazanych zakazów zapisanych w tej uchwale zgodnej z aktualnym brzmieniem art. 24 ust. 1 pkt 5, 6 ustawy z dnia 16 kwietnia 2004 r. o ochronie przyrody, to jest:</w:t>
      </w:r>
    </w:p>
    <w:p w:rsidR="00B619D4" w:rsidRDefault="00B619D4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„5) wykonywania prac ziemnych trwale zniekształcających rzeźbę terenu, z wyjątkiem prac związanych z zabezpieczeniem przeciwsztormowym, przeciwpowodziowym lub </w:t>
      </w:r>
      <w:proofErr w:type="spellStart"/>
      <w:r>
        <w:rPr>
          <w:rFonts w:ascii="Arial" w:hAnsi="Arial" w:cs="Arial"/>
        </w:rPr>
        <w:t>przeciwosuwiskowym</w:t>
      </w:r>
      <w:proofErr w:type="spellEnd"/>
      <w:r>
        <w:rPr>
          <w:rFonts w:ascii="Arial" w:hAnsi="Arial" w:cs="Arial"/>
        </w:rPr>
        <w:t xml:space="preserve"> lub utrzymaniem, budową, odbudową, naprawą lub remontem urządzeń wodnych;”</w:t>
      </w:r>
    </w:p>
    <w:p w:rsidR="00B619D4" w:rsidRDefault="00B619D4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>„6) dokonywania zmian stosunków wodnych, jeżeli służą innym celom niż ochrona przyrody lub zrównoważone wykorzystanie użytków rolnych i leśnych oraz racjonalna gospodarka wodna lub rybacka;”</w:t>
      </w:r>
    </w:p>
    <w:p w:rsidR="00B619D4" w:rsidRDefault="00B619D4" w:rsidP="004F5F4B">
      <w:pPr>
        <w:rPr>
          <w:rFonts w:ascii="Arial" w:hAnsi="Arial" w:cs="Arial"/>
        </w:rPr>
      </w:pPr>
    </w:p>
    <w:p w:rsidR="00B619D4" w:rsidRDefault="00B619D4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11 września 2015 r. weszła w życie ustawa z dnia 24 kwietnia 2015 r. </w:t>
      </w:r>
      <w:r>
        <w:rPr>
          <w:rFonts w:ascii="Arial" w:hAnsi="Arial" w:cs="Arial"/>
        </w:rPr>
        <w:br/>
        <w:t>o zmianie niektórych ustaw w związku ze wzmocnieniem narzędzi ochrony krajobrazu (Dz. U. z 2015 r., poz. 1688), która dokonała pewnych zmian w ustawie o ochronie przyrody. Zmiana dotyczy m. in. zapisu art. 24 ust. 1 pkt 8 ustawy o ochronie przyrody, który uzyskał brzmienie:</w:t>
      </w:r>
    </w:p>
    <w:p w:rsidR="00B619D4" w:rsidRDefault="00B619D4" w:rsidP="004F5F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„8) budowanie nowych obiektów budowlanych w pasie szerokości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 w:cs="Arial"/>
          </w:rPr>
          <w:t>100 m</w:t>
        </w:r>
      </w:smartTag>
      <w:r>
        <w:rPr>
          <w:rFonts w:ascii="Arial" w:hAnsi="Arial" w:cs="Arial"/>
        </w:rPr>
        <w:t xml:space="preserve"> od:</w:t>
      </w:r>
    </w:p>
    <w:p w:rsidR="00B619D4" w:rsidRDefault="00B619D4" w:rsidP="004F5F4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linii brzegów rzek, jezior i innych naturalnych zbiorników wodnych,</w:t>
      </w:r>
    </w:p>
    <w:p w:rsidR="00B619D4" w:rsidRDefault="00B619D4" w:rsidP="004F5F4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zasięgu lustra wody w sztucznych zbiornikach wodnych usytuowanych na wodach płynących przy normalnym poziomie piętrzenia określonym w pozwoleniu wodnoprawnym, o którym mowa w art. 122 ust. 1 pkt 1 ustawy z dnia 18 lipca 2001 r. – Prawo wodne</w:t>
      </w:r>
    </w:p>
    <w:p w:rsidR="00B619D4" w:rsidRDefault="00B619D4" w:rsidP="004F5F4B">
      <w:pPr>
        <w:ind w:left="1080"/>
        <w:rPr>
          <w:rFonts w:ascii="Arial" w:hAnsi="Arial" w:cs="Arial"/>
        </w:rPr>
      </w:pPr>
    </w:p>
    <w:p w:rsidR="00B619D4" w:rsidRDefault="00B619D4" w:rsidP="004F5F4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- z wyjątkiem urządzeń wodnych oraz obiektów służących prowadzeniu racjonalnej gospodarki rolnej, leśnej lub rybackiej;”</w:t>
      </w:r>
    </w:p>
    <w:p w:rsidR="00B619D4" w:rsidRDefault="00B619D4" w:rsidP="00EC3840">
      <w:pPr>
        <w:rPr>
          <w:rFonts w:ascii="Arial" w:hAnsi="Arial" w:cs="Arial"/>
        </w:rPr>
      </w:pPr>
    </w:p>
    <w:p w:rsidR="00B619D4" w:rsidRDefault="00B619D4" w:rsidP="00EC384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porównaniu z obowiązującą uchwałą zmianie ulega zapis §5 pkt 4, 5, 7 uchwały </w:t>
      </w:r>
      <w:r>
        <w:rPr>
          <w:rFonts w:ascii="Arial" w:hAnsi="Arial" w:cs="Arial"/>
        </w:rPr>
        <w:br/>
        <w:t xml:space="preserve">w sprawie Obszaru Chronionego Krajobrazu Doliny rzeki Sępolenki, co dostosowuje katalog zakazów do obecnie obowiązującej ustawy z dnia 16 kwietnia 2004 r. o ochronie przyrody (Dz. U. z 2016 r., poz. 2134, z późn. zm.). Należy podkreślić, iż najważniejszą zmianą </w:t>
      </w:r>
      <w:r>
        <w:rPr>
          <w:rFonts w:ascii="Arial" w:hAnsi="Arial" w:cs="Arial"/>
        </w:rPr>
        <w:br/>
        <w:t xml:space="preserve">w uchwale Nr X/234/15 Sejmiku Województwa Kujawsko – Pomorskiego z dnia 24 sierpnia 2015 r. w sprawie Obszaru Chronionego Krajobrazu Doliny rzeki Sępolenki jest zniesienie zakazu zabudowy w pasie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Arial" w:hAnsi="Arial" w:cs="Arial"/>
          </w:rPr>
          <w:t>100 m</w:t>
        </w:r>
      </w:smartTag>
      <w:r>
        <w:rPr>
          <w:rFonts w:ascii="Arial" w:hAnsi="Arial" w:cs="Arial"/>
        </w:rPr>
        <w:t xml:space="preserve"> od sztucznych zbiorników wodnych. Utrzymany on zostaje dla rzek, jezior i innych naturalnych zbiorników wodnych, chroniąc tym samym przyrodę okalającą od niekorzystnych przekształceń wynikających z działalności człowieka. </w:t>
      </w:r>
    </w:p>
    <w:p w:rsidR="00B619D4" w:rsidRDefault="00B619D4" w:rsidP="0049334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Zarząd Województwa Kujawsko – Pomorskiego w w/w piśmie poinformował Przewodniczącego Rady Gminy, iż został wyłoniony Wykonawca przedsięwzięcia pt. „Opracowanie dokumentacji w sprawie obszarów chronionego krajobrazu w zakresie oceny zachowania i wartości krajobrazów wyróżnionych z elementami audytu krajobrazowego”, dotyczącego sporządzenia dokumentacji projektowej 30 obszarów chronionego krajobrazu, której efektem będą uchwały Sejmiku Województwa Kujawsko – Pomorskiego w sprawie położonych na terenie województwa kujawsko – pomorskiego obszarów chronionego krajobrazu, w tym Obszaru Chronionego Krajobrazu Doliny rzeki Sępolenki, której przyjęcie planowane jest do końca grudnia 2018 r. W ramach przedmiotowego przedsięwzięcia zostaną przeanalizowane m.in. granice i tereny wyłączone spod poszczególnych zakazów </w:t>
      </w:r>
      <w:r>
        <w:rPr>
          <w:rFonts w:ascii="Arial" w:hAnsi="Arial" w:cs="Arial"/>
        </w:rPr>
        <w:br/>
        <w:t xml:space="preserve">w obszarze przedmiotowej formy ochrony przyrody. Pierwszym etapem powyższych prac będą spotkania konsultacyjne z władzami gmin, na których obszarze znajduje się omawiana forma ochrony przyrody. </w:t>
      </w:r>
    </w:p>
    <w:sectPr w:rsidR="00B619D4" w:rsidSect="00E57291">
      <w:footerReference w:type="default" r:id="rId9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31" w:rsidRDefault="00600731" w:rsidP="0024787F">
      <w:r>
        <w:separator/>
      </w:r>
    </w:p>
  </w:endnote>
  <w:endnote w:type="continuationSeparator" w:id="0">
    <w:p w:rsidR="00600731" w:rsidRDefault="00600731" w:rsidP="002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3"/>
      <w:gridCol w:w="4643"/>
    </w:tblGrid>
    <w:tr w:rsidR="00B619D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19D4" w:rsidRDefault="00B619D4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19D4" w:rsidRDefault="00B619D4">
          <w:pPr>
            <w:jc w:val="right"/>
            <w:rPr>
              <w:sz w:val="18"/>
            </w:rPr>
          </w:pPr>
        </w:p>
      </w:tc>
    </w:tr>
  </w:tbl>
  <w:p w:rsidR="00B619D4" w:rsidRDefault="00B619D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3"/>
      <w:gridCol w:w="4643"/>
    </w:tblGrid>
    <w:tr w:rsidR="00B619D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19D4" w:rsidRDefault="00B619D4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19D4" w:rsidRDefault="00B619D4">
          <w:pPr>
            <w:jc w:val="right"/>
            <w:rPr>
              <w:sz w:val="18"/>
            </w:rPr>
          </w:pPr>
        </w:p>
      </w:tc>
    </w:tr>
  </w:tbl>
  <w:p w:rsidR="00B619D4" w:rsidRDefault="00B619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31" w:rsidRDefault="00600731" w:rsidP="0024787F">
      <w:r>
        <w:separator/>
      </w:r>
    </w:p>
  </w:footnote>
  <w:footnote w:type="continuationSeparator" w:id="0">
    <w:p w:rsidR="00600731" w:rsidRDefault="00600731" w:rsidP="0024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AA9"/>
    <w:multiLevelType w:val="hybridMultilevel"/>
    <w:tmpl w:val="30603338"/>
    <w:lvl w:ilvl="0" w:tplc="120CC92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3016B44"/>
    <w:multiLevelType w:val="hybridMultilevel"/>
    <w:tmpl w:val="79FE6954"/>
    <w:lvl w:ilvl="0" w:tplc="40CAE54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2">
    <w:nsid w:val="45A20B0A"/>
    <w:multiLevelType w:val="multilevel"/>
    <w:tmpl w:val="9EB872E4"/>
    <w:lvl w:ilvl="0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3">
    <w:nsid w:val="5C4222D0"/>
    <w:multiLevelType w:val="hybridMultilevel"/>
    <w:tmpl w:val="DF6A8C38"/>
    <w:lvl w:ilvl="0" w:tplc="B5E256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87F"/>
    <w:rsid w:val="00000CD1"/>
    <w:rsid w:val="00006C62"/>
    <w:rsid w:val="0008635A"/>
    <w:rsid w:val="000B0761"/>
    <w:rsid w:val="000D7F8F"/>
    <w:rsid w:val="000F2957"/>
    <w:rsid w:val="001125C5"/>
    <w:rsid w:val="001175C2"/>
    <w:rsid w:val="00167763"/>
    <w:rsid w:val="001B55AB"/>
    <w:rsid w:val="001F4526"/>
    <w:rsid w:val="001F5B0E"/>
    <w:rsid w:val="00200448"/>
    <w:rsid w:val="00203A28"/>
    <w:rsid w:val="002077FD"/>
    <w:rsid w:val="00215A24"/>
    <w:rsid w:val="00222644"/>
    <w:rsid w:val="00222AD7"/>
    <w:rsid w:val="00225638"/>
    <w:rsid w:val="00225BC8"/>
    <w:rsid w:val="00227BB1"/>
    <w:rsid w:val="00236084"/>
    <w:rsid w:val="0024787F"/>
    <w:rsid w:val="0027521B"/>
    <w:rsid w:val="00285F71"/>
    <w:rsid w:val="002F512B"/>
    <w:rsid w:val="003100D0"/>
    <w:rsid w:val="003D5ED8"/>
    <w:rsid w:val="003E0123"/>
    <w:rsid w:val="00422485"/>
    <w:rsid w:val="00465871"/>
    <w:rsid w:val="00475B3A"/>
    <w:rsid w:val="004769CB"/>
    <w:rsid w:val="0047737D"/>
    <w:rsid w:val="00481E15"/>
    <w:rsid w:val="00493342"/>
    <w:rsid w:val="0049343C"/>
    <w:rsid w:val="004E58F1"/>
    <w:rsid w:val="004F032D"/>
    <w:rsid w:val="004F5F4B"/>
    <w:rsid w:val="005205B1"/>
    <w:rsid w:val="00544F83"/>
    <w:rsid w:val="0055270F"/>
    <w:rsid w:val="00565424"/>
    <w:rsid w:val="00572E1B"/>
    <w:rsid w:val="005B774A"/>
    <w:rsid w:val="005C039B"/>
    <w:rsid w:val="00600731"/>
    <w:rsid w:val="00603737"/>
    <w:rsid w:val="0060390A"/>
    <w:rsid w:val="00612D30"/>
    <w:rsid w:val="006472B5"/>
    <w:rsid w:val="00697F2E"/>
    <w:rsid w:val="006B3B07"/>
    <w:rsid w:val="006B49DF"/>
    <w:rsid w:val="006F7CAB"/>
    <w:rsid w:val="007034AE"/>
    <w:rsid w:val="0070677B"/>
    <w:rsid w:val="00751635"/>
    <w:rsid w:val="00760CCE"/>
    <w:rsid w:val="007829F7"/>
    <w:rsid w:val="007E1F14"/>
    <w:rsid w:val="007E47E6"/>
    <w:rsid w:val="008148EA"/>
    <w:rsid w:val="00816A9A"/>
    <w:rsid w:val="00830833"/>
    <w:rsid w:val="008409F9"/>
    <w:rsid w:val="00853D68"/>
    <w:rsid w:val="008904DD"/>
    <w:rsid w:val="008E2E9F"/>
    <w:rsid w:val="00903D6F"/>
    <w:rsid w:val="00904FBF"/>
    <w:rsid w:val="00935E0E"/>
    <w:rsid w:val="0094230A"/>
    <w:rsid w:val="009A40B3"/>
    <w:rsid w:val="009A7CD9"/>
    <w:rsid w:val="009B178D"/>
    <w:rsid w:val="009E0978"/>
    <w:rsid w:val="009E5E92"/>
    <w:rsid w:val="009F2223"/>
    <w:rsid w:val="009F745B"/>
    <w:rsid w:val="00A37297"/>
    <w:rsid w:val="00A526AD"/>
    <w:rsid w:val="00A61A54"/>
    <w:rsid w:val="00A61E53"/>
    <w:rsid w:val="00A77B3E"/>
    <w:rsid w:val="00A873D7"/>
    <w:rsid w:val="00A95E20"/>
    <w:rsid w:val="00AB07BF"/>
    <w:rsid w:val="00AB647E"/>
    <w:rsid w:val="00AC60F9"/>
    <w:rsid w:val="00AC729B"/>
    <w:rsid w:val="00B619D4"/>
    <w:rsid w:val="00C33289"/>
    <w:rsid w:val="00C658FA"/>
    <w:rsid w:val="00C77F86"/>
    <w:rsid w:val="00C82BAD"/>
    <w:rsid w:val="00CE438D"/>
    <w:rsid w:val="00D16B3A"/>
    <w:rsid w:val="00D8308E"/>
    <w:rsid w:val="00D92009"/>
    <w:rsid w:val="00DD7232"/>
    <w:rsid w:val="00DE1F58"/>
    <w:rsid w:val="00DF0DEE"/>
    <w:rsid w:val="00E57291"/>
    <w:rsid w:val="00E60AC3"/>
    <w:rsid w:val="00E76DFD"/>
    <w:rsid w:val="00E77F0C"/>
    <w:rsid w:val="00E85358"/>
    <w:rsid w:val="00E95528"/>
    <w:rsid w:val="00EC3840"/>
    <w:rsid w:val="00EE6E92"/>
    <w:rsid w:val="00F22402"/>
    <w:rsid w:val="00F35AC3"/>
    <w:rsid w:val="00F47394"/>
    <w:rsid w:val="00F93AF1"/>
    <w:rsid w:val="00F96124"/>
    <w:rsid w:val="00FA419C"/>
    <w:rsid w:val="00FB574F"/>
    <w:rsid w:val="00FE6024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7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873D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16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521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6A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521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31 lipca 2015 r.</vt:lpstr>
    </vt:vector>
  </TitlesOfParts>
  <Company>Rada Gminy Cekcyn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lipca 2015 r.</dc:title>
  <dc:subject>w sprawie zaopiniowania projektu uchwały Sejmiku Województwa Kujawsko - Pomorskiego w^sprawie Śliwickiego Obszaru Chronionego Krajobrazu.</dc:subject>
  <dc:creator>Ochrona Środowiska</dc:creator>
  <cp:keywords/>
  <dc:description/>
  <cp:lastModifiedBy>Asus</cp:lastModifiedBy>
  <cp:revision>10</cp:revision>
  <cp:lastPrinted>2018-02-07T10:38:00Z</cp:lastPrinted>
  <dcterms:created xsi:type="dcterms:W3CDTF">2018-02-07T09:14:00Z</dcterms:created>
  <dcterms:modified xsi:type="dcterms:W3CDTF">2018-02-07T10:39:00Z</dcterms:modified>
  <cp:category>Akt prawny</cp:category>
</cp:coreProperties>
</file>